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955CB">
      <w:pPr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  <w:t>重庆图书馆巴渝阅读行纸质图书采购</w:t>
      </w:r>
    </w:p>
    <w:p w14:paraId="6CBECD71">
      <w:pPr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</w:rPr>
        <w:t>采购执行编号：CQS25A01655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  <w:t>)</w:t>
      </w:r>
    </w:p>
    <w:p w14:paraId="11CC2352">
      <w:pPr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  <w:t>更正公告（一）</w:t>
      </w:r>
    </w:p>
    <w:p w14:paraId="64EC7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highlight w:val="none"/>
          <w:lang w:val="en-US" w:eastAsia="zh-CN"/>
        </w:rPr>
        <w:t>各潜在投标人：</w:t>
      </w:r>
    </w:p>
    <w:p w14:paraId="2E9CC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highlight w:val="none"/>
          <w:lang w:val="en-US" w:eastAsia="zh-CN"/>
        </w:rPr>
        <w:t>现对重庆图书馆巴渝阅读行纸质图书采购(采购执行编号：CQS25A01655)招标文件第一篇 投标邀请书 五、投标保证金 ”投标保证金账户：”作如下更正：</w:t>
      </w:r>
    </w:p>
    <w:tbl>
      <w:tblPr>
        <w:tblStyle w:val="6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6300"/>
      </w:tblGrid>
      <w:tr w14:paraId="6FC6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D07C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sz w:val="60"/>
                <w:szCs w:val="60"/>
              </w:rPr>
            </w:pPr>
            <w:r>
              <w:rPr>
                <w:rStyle w:val="11"/>
                <w:rFonts w:ascii="宋体" w:hAnsi="宋体" w:eastAsia="宋体" w:cs="宋体"/>
                <w:sz w:val="60"/>
                <w:szCs w:val="60"/>
              </w:rPr>
              <w:t>投标保证金递交账号一览表</w:t>
            </w:r>
          </w:p>
        </w:tc>
      </w:tr>
      <w:tr w14:paraId="5D1D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4305E"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11"/>
                <w:rFonts w:ascii="宋体" w:hAnsi="宋体" w:eastAsia="宋体" w:cs="宋体"/>
                <w:sz w:val="24"/>
                <w:szCs w:val="24"/>
              </w:rPr>
              <w:t>项目名称：重庆图书馆巴渝阅读行纸质图书采购</w:t>
            </w:r>
          </w:p>
        </w:tc>
      </w:tr>
      <w:tr w14:paraId="5EC3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775C8"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11"/>
                <w:rFonts w:ascii="宋体" w:hAnsi="宋体" w:eastAsia="宋体" w:cs="宋体"/>
                <w:sz w:val="24"/>
                <w:szCs w:val="24"/>
              </w:rPr>
              <w:t>财政编号：CQS25A01655</w:t>
            </w:r>
          </w:p>
        </w:tc>
      </w:tr>
      <w:tr w14:paraId="4BB1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F66BF"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11"/>
                <w:rFonts w:ascii="宋体" w:hAnsi="宋体" w:eastAsia="宋体" w:cs="宋体"/>
                <w:sz w:val="24"/>
                <w:szCs w:val="24"/>
              </w:rPr>
              <w:t>项目编号：50000120250520030104002</w:t>
            </w:r>
          </w:p>
        </w:tc>
      </w:tr>
      <w:tr w14:paraId="1828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C5DC"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  户名:重庆联合产权交易所集团股份有限公司</w:t>
            </w:r>
          </w:p>
        </w:tc>
      </w:tr>
      <w:tr w14:paraId="3B08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D4B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分包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140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银行信息</w:t>
            </w:r>
          </w:p>
        </w:tc>
      </w:tr>
      <w:tr w14:paraId="3E7D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4A9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01</w:t>
            </w:r>
          </w:p>
        </w:tc>
        <w:tc>
          <w:tcPr>
            <w:tcW w:w="3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28"/>
              <w:gridCol w:w="628"/>
              <w:gridCol w:w="5028"/>
            </w:tblGrid>
            <w:tr w14:paraId="6653D4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8A17E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账号1</w:t>
                  </w:r>
                </w:p>
              </w:tc>
              <w:tc>
                <w:tcPr>
                  <w:tcW w:w="5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5C873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开户行</w:t>
                  </w:r>
                </w:p>
              </w:tc>
              <w:tc>
                <w:tcPr>
                  <w:tcW w:w="40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C2806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重庆银行七星岗支行</w:t>
                  </w:r>
                </w:p>
              </w:tc>
            </w:tr>
            <w:tr w14:paraId="708D4C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500" w:type="pct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B95D7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80B6F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账号</w:t>
                  </w:r>
                </w:p>
              </w:tc>
              <w:tc>
                <w:tcPr>
                  <w:tcW w:w="40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1A88B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150101040015061154572</w:t>
                  </w:r>
                </w:p>
              </w:tc>
            </w:tr>
            <w:tr w14:paraId="19DBD0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D7DFC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账号2</w:t>
                  </w:r>
                </w:p>
              </w:tc>
              <w:tc>
                <w:tcPr>
                  <w:tcW w:w="5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6A62F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开户行</w:t>
                  </w:r>
                </w:p>
              </w:tc>
              <w:tc>
                <w:tcPr>
                  <w:tcW w:w="40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2B3A6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建设银行重庆中山路支行</w:t>
                  </w:r>
                </w:p>
              </w:tc>
            </w:tr>
            <w:tr w14:paraId="52C675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500" w:type="pct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47562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F33DA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账号</w:t>
                  </w:r>
                </w:p>
              </w:tc>
              <w:tc>
                <w:tcPr>
                  <w:tcW w:w="40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6638B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6232813760001760478</w:t>
                  </w:r>
                </w:p>
              </w:tc>
            </w:tr>
          </w:tbl>
          <w:p w14:paraId="59445C15">
            <w:pPr>
              <w:jc w:val="center"/>
            </w:pPr>
          </w:p>
        </w:tc>
      </w:tr>
      <w:tr w14:paraId="2CE4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D59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02</w:t>
            </w:r>
          </w:p>
        </w:tc>
        <w:tc>
          <w:tcPr>
            <w:tcW w:w="3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6"/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28"/>
              <w:gridCol w:w="628"/>
              <w:gridCol w:w="5028"/>
            </w:tblGrid>
            <w:tr w14:paraId="619E0A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D5F91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账号1</w:t>
                  </w:r>
                </w:p>
              </w:tc>
              <w:tc>
                <w:tcPr>
                  <w:tcW w:w="5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EE93E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开户行</w:t>
                  </w:r>
                </w:p>
              </w:tc>
              <w:tc>
                <w:tcPr>
                  <w:tcW w:w="40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05770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重庆银行七星岗支行</w:t>
                  </w:r>
                </w:p>
              </w:tc>
            </w:tr>
            <w:tr w14:paraId="27730C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500" w:type="pct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45C3D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AC08A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账号</w:t>
                  </w:r>
                </w:p>
              </w:tc>
              <w:tc>
                <w:tcPr>
                  <w:tcW w:w="40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CCA5B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150101040015061157170</w:t>
                  </w:r>
                </w:p>
              </w:tc>
            </w:tr>
            <w:tr w14:paraId="077291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A3912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账号2</w:t>
                  </w:r>
                </w:p>
              </w:tc>
              <w:tc>
                <w:tcPr>
                  <w:tcW w:w="5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11F60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开户行</w:t>
                  </w:r>
                </w:p>
              </w:tc>
              <w:tc>
                <w:tcPr>
                  <w:tcW w:w="40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5EFC6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建设银行重庆中山路支行</w:t>
                  </w:r>
                </w:p>
              </w:tc>
            </w:tr>
            <w:tr w14:paraId="6F9848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500" w:type="pct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FA706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C1CE3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账号</w:t>
                  </w:r>
                </w:p>
              </w:tc>
              <w:tc>
                <w:tcPr>
                  <w:tcW w:w="4000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C4BFD"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6232813760001694065</w:t>
                  </w:r>
                </w:p>
              </w:tc>
            </w:tr>
          </w:tbl>
          <w:p w14:paraId="691D444E">
            <w:pPr>
              <w:jc w:val="center"/>
            </w:pPr>
          </w:p>
        </w:tc>
      </w:tr>
      <w:tr w14:paraId="7AB80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F6FB"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银行行号：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请登录重庆市公共资源交易网（www.cqggzy.com）对应栏目查看。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路径：服务导航-政府采购-办事指引-重庆市公共资源交易中心政府采购项目保证金银行联行行号。 </w:t>
            </w:r>
          </w:p>
        </w:tc>
      </w:tr>
    </w:tbl>
    <w:p w14:paraId="2D169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vertAlign w:val="baseline"/>
          <w:lang w:val="en-US" w:eastAsia="zh-CN"/>
        </w:rPr>
        <w:t>注：本更正公告和招标文件中不一致的地方，均以本更正公告为准。</w:t>
      </w:r>
    </w:p>
    <w:p w14:paraId="12C31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default" w:ascii="方正仿宋_GBK" w:hAnsi="方正仿宋_GBK" w:eastAsia="方正仿宋_GBK" w:cs="方正仿宋_GBK"/>
          <w:color w:val="000000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p w14:paraId="02E2B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default" w:ascii="方正仿宋_GBK" w:hAnsi="方正仿宋_GBK" w:eastAsia="方正仿宋_GBK" w:cs="方正仿宋_GBK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sz w:val="24"/>
          <w:szCs w:val="24"/>
          <w:vertAlign w:val="baseline"/>
          <w:lang w:val="en-US" w:eastAsia="zh-CN"/>
        </w:rPr>
        <w:t>采购代理机构：中建投（重庆）招标代理有限公司</w:t>
      </w:r>
    </w:p>
    <w:p w14:paraId="2D104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default" w:ascii="方正小标宋_GBK" w:hAnsi="宋体" w:eastAsia="方正小标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vertAlign w:val="baseline"/>
          <w:lang w:val="en-US" w:eastAsia="zh-CN"/>
        </w:rPr>
        <w:t>2025年5月21日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675E3"/>
    <w:rsid w:val="039B759E"/>
    <w:rsid w:val="08222AF4"/>
    <w:rsid w:val="09C86AB7"/>
    <w:rsid w:val="0BBD44AF"/>
    <w:rsid w:val="1AEE444E"/>
    <w:rsid w:val="1DD31FD0"/>
    <w:rsid w:val="2F6C0753"/>
    <w:rsid w:val="32982106"/>
    <w:rsid w:val="34D675E3"/>
    <w:rsid w:val="35336F65"/>
    <w:rsid w:val="36E73C56"/>
    <w:rsid w:val="4D2A4BEC"/>
    <w:rsid w:val="4FDB40FF"/>
    <w:rsid w:val="5213522D"/>
    <w:rsid w:val="546372EB"/>
    <w:rsid w:val="5C957ED4"/>
    <w:rsid w:val="637C739D"/>
    <w:rsid w:val="6825314D"/>
    <w:rsid w:val="6CB3127B"/>
    <w:rsid w:val="70AA640D"/>
    <w:rsid w:val="771B2453"/>
    <w:rsid w:val="7D4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Cs w:val="22"/>
    </w:r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图例"/>
    <w:basedOn w:val="1"/>
    <w:qFormat/>
    <w:uiPriority w:val="0"/>
    <w:pPr>
      <w:spacing w:before="120" w:beforeLines="0" w:beforeAutospacing="0" w:after="120" w:afterLines="0" w:afterAutospacing="0" w:line="360" w:lineRule="auto"/>
      <w:jc w:val="center"/>
    </w:pPr>
    <w:rPr>
      <w:rFonts w:eastAsia="仿宋_GB2312"/>
      <w:b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trnone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539</Characters>
  <Lines>0</Lines>
  <Paragraphs>0</Paragraphs>
  <TotalTime>0</TotalTime>
  <ScaleCrop>false</ScaleCrop>
  <LinksUpToDate>false</LinksUpToDate>
  <CharactersWithSpaces>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2024-11-28T02:09:00Z</dcterms:created>
  <dc:creator>WPS_1667824553</dc:creator>
  <cp:lastModifiedBy>雪学</cp:lastModifiedBy>
  <dcterms:modified xsi:type="dcterms:W3CDTF">2025-05-21T01:25:04Z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9D3144E8427E4638A320A43A67AD5924_13</vt:lpwstr>
  </property>
  <property fmtid="{D5CDD505-2E9C-101B-9397-08002B2CF9AE}" pid="4" name="KSOTemplateDocerSaveRecord">
    <vt:lpwstr>eyJoZGlkIjoiZWQwZGM0NWE3ZjBmM2EzZjAxMTViZGVlYmExYmYzNWEiLCJ1c2VySWQiOiI0MDc2NjAxMDMifQ==</vt:lpwstr>
  </property>
</Properties>
</file>